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435308">
        <w:rPr>
          <w:rFonts w:ascii="Times New Roman" w:hAnsi="Times New Roman" w:cs="Times New Roman"/>
          <w:b/>
          <w:sz w:val="24"/>
          <w:szCs w:val="24"/>
        </w:rPr>
        <w:t>2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9B7" w:rsidRPr="00506A70" w:rsidRDefault="00B159B7" w:rsidP="00B15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  <w:r w:rsidRPr="00506A70">
        <w:rPr>
          <w:rFonts w:ascii="Times New Roman" w:hAnsi="Times New Roman" w:cs="Times New Roman"/>
          <w:b/>
          <w:sz w:val="24"/>
          <w:szCs w:val="24"/>
        </w:rPr>
        <w:t xml:space="preserve"> „Доставка на компютърн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147A54" w:rsidRPr="00435308" w:rsidRDefault="00147A54" w:rsidP="00B159B7">
      <w:pPr>
        <w:tabs>
          <w:tab w:val="left" w:pos="567"/>
        </w:tabs>
        <w:suppressAutoHyphens/>
        <w:ind w:right="-23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1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CA31D1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C74516" w:rsidRDefault="00C7451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Техническо предложение</w:t>
      </w:r>
      <w:r w:rsidR="00187DE0" w:rsidRPr="00263E26">
        <w:rPr>
          <w:lang w:eastAsia="bg-BG"/>
        </w:rPr>
        <w:t xml:space="preserve"> </w:t>
      </w:r>
      <w:r w:rsidR="000E52EE" w:rsidRPr="00263E26">
        <w:rPr>
          <w:lang w:eastAsia="bg-BG"/>
        </w:rPr>
        <w:t xml:space="preserve">- </w:t>
      </w:r>
      <w:r w:rsidR="00CA5478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1</w:t>
      </w:r>
      <w:r w:rsidR="000E52EE" w:rsidRPr="00C74516">
        <w:rPr>
          <w:b/>
          <w:lang w:eastAsia="bg-BG"/>
        </w:rPr>
        <w:t>;</w:t>
      </w:r>
    </w:p>
    <w:p w:rsidR="00102472" w:rsidRPr="0037348A" w:rsidRDefault="00763F9F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C74516">
        <w:rPr>
          <w:lang w:eastAsia="bg-BG"/>
        </w:rPr>
        <w:t>Ценово предл</w:t>
      </w:r>
      <w:r w:rsidR="00F13F75" w:rsidRPr="00C74516">
        <w:rPr>
          <w:lang w:eastAsia="bg-BG"/>
        </w:rPr>
        <w:t xml:space="preserve">ожение </w:t>
      </w:r>
      <w:r w:rsidRPr="00C74516">
        <w:rPr>
          <w:lang w:eastAsia="bg-BG"/>
        </w:rPr>
        <w:t xml:space="preserve">- </w:t>
      </w:r>
      <w:r w:rsidR="00F13F75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2</w:t>
      </w:r>
      <w:r w:rsidR="00102472">
        <w:rPr>
          <w:b/>
          <w:lang w:eastAsia="bg-BG"/>
        </w:rPr>
        <w:t xml:space="preserve"> </w:t>
      </w:r>
      <w:r w:rsidR="00102472" w:rsidRPr="0037348A">
        <w:rPr>
          <w:b/>
          <w:lang w:eastAsia="bg-BG"/>
        </w:rPr>
        <w:t>и количествено-стойностна сметка;</w:t>
      </w:r>
    </w:p>
    <w:p w:rsidR="00102472" w:rsidRPr="0037348A" w:rsidRDefault="00102472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763F9F" w:rsidRPr="00763F9F" w:rsidRDefault="00763F9F" w:rsidP="00102472">
      <w:pPr>
        <w:pStyle w:val="ListParagraph"/>
        <w:tabs>
          <w:tab w:val="left" w:pos="567"/>
        </w:tabs>
        <w:spacing w:line="276" w:lineRule="auto"/>
        <w:ind w:left="0"/>
        <w:jc w:val="both"/>
        <w:rPr>
          <w:b/>
          <w:lang w:eastAsia="bg-BG"/>
        </w:rPr>
      </w:pPr>
      <w:r w:rsidRPr="00763F9F">
        <w:rPr>
          <w:b/>
          <w:lang w:eastAsia="bg-BG"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8C681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D97D6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D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EA4B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681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B2B63" w:rsidRDefault="009B2B63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критериите за подбор по отношение на дела и вида на дейностите, които ще изпълнява.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</w:t>
      </w:r>
      <w:r w:rsidR="00FD6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включване на подизпълнител, ще представя на възложителя копие на договора с новия подизпълнител заедно с всички документи, които доазват изпълнението на условията по чл.66, ал.14 от ЗОП, в срок до три дни от неговото включване. 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BD1791" w:rsidRPr="007A7303" w:rsidRDefault="00723042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lastRenderedPageBreak/>
        <w:t xml:space="preserve"> </w:t>
      </w:r>
      <w:r w:rsidR="00BD1791"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BD1791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BD1791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D179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>Участникът, който представлявам прилага сертифицирана система за управление на качеството в съответствие с EN ISO 9001:</w:t>
      </w:r>
      <w:r w:rsidR="00BD1791" w:rsidRPr="00C15EB0">
        <w:rPr>
          <w:rFonts w:ascii="Times New Roman" w:hAnsi="Times New Roman" w:cs="Times New Roman"/>
          <w:sz w:val="24"/>
          <w:szCs w:val="24"/>
        </w:rPr>
        <w:t xml:space="preserve">2015 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 xml:space="preserve"> и притежава сертификат № ......................... издаден от..........................................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срок на валидност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/информация относно публичните регистри, в които се съдържат горепосочените обстоятелства/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или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BD1791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725B" w:rsidRPr="00CF208B" w:rsidRDefault="00BD1791" w:rsidP="00CF208B">
      <w:pPr>
        <w:ind w:firstLine="49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="004353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E909C7">
        <w:rPr>
          <w:rFonts w:eastAsia="Calibri"/>
          <w:lang w:eastAsia="ar-SA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933189" w:rsidRPr="00263E26" w:rsidRDefault="00933189" w:rsidP="0077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77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 представен документ с невярно съдържание, </w:t>
      </w:r>
      <w:r w:rsidR="005D21B9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Pr="00263E26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7349F1">
        <w:rPr>
          <w:rFonts w:ascii="Times New Roman" w:hAnsi="Times New Roman" w:cs="Times New Roman"/>
          <w:sz w:val="24"/>
          <w:szCs w:val="24"/>
        </w:rPr>
        <w:t>Институт по математика и информатика към БАН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АТА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СПЕЦИФИКАЦИЯ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валидност на офертите и с проекта на договор.</w:t>
      </w:r>
    </w:p>
    <w:p w:rsidR="007349F1" w:rsidRPr="005001DD" w:rsidRDefault="007349F1" w:rsidP="007349F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спецификация.  </w:t>
      </w:r>
    </w:p>
    <w:p w:rsidR="007349F1" w:rsidRDefault="007349F1" w:rsidP="007349F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3.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sz w:val="24"/>
          <w:szCs w:val="24"/>
        </w:rPr>
        <w:t xml:space="preserve">Предлагаме  да  изпълним </w:t>
      </w:r>
      <w:r>
        <w:rPr>
          <w:rFonts w:ascii="Times New Roman" w:hAnsi="Times New Roman" w:cs="Times New Roman"/>
          <w:sz w:val="24"/>
          <w:szCs w:val="24"/>
        </w:rPr>
        <w:t>всяка доставка в</w:t>
      </w:r>
      <w:r w:rsidRPr="005001DD">
        <w:rPr>
          <w:rFonts w:ascii="Times New Roman" w:hAnsi="Times New Roman" w:cs="Times New Roman"/>
          <w:sz w:val="24"/>
          <w:szCs w:val="24"/>
        </w:rPr>
        <w:t xml:space="preserve">  срок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.............дни </w:t>
      </w:r>
      <w:r w:rsidRPr="005001DD">
        <w:rPr>
          <w:rFonts w:ascii="Times New Roman" w:hAnsi="Times New Roman" w:cs="Times New Roman"/>
          <w:i/>
          <w:sz w:val="24"/>
          <w:szCs w:val="24"/>
          <w:lang w:val="ru-RU"/>
        </w:rPr>
        <w:t>(срокът не може да е повече от 20 календарни дни)</w:t>
      </w:r>
      <w:r w:rsidRPr="005001DD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r>
        <w:rPr>
          <w:rFonts w:ascii="Times New Roman" w:hAnsi="Times New Roman" w:cs="Times New Roman"/>
          <w:sz w:val="24"/>
          <w:szCs w:val="24"/>
        </w:rPr>
        <w:t>получаване от Възложителя на заявка за доставка</w:t>
      </w:r>
      <w:r w:rsidRPr="0050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9F1" w:rsidRPr="00BF112B" w:rsidRDefault="007349F1" w:rsidP="00734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E8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E80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0B11">
        <w:rPr>
          <w:rFonts w:ascii="Times New Roman" w:hAnsi="Times New Roman" w:cs="Times New Roman"/>
          <w:sz w:val="24"/>
          <w:szCs w:val="24"/>
        </w:rPr>
        <w:t xml:space="preserve">Потвърждаваме, че ще осигурим гаранционна поддръжка на доставеното оборудване за срок от 24 месеца, </w:t>
      </w:r>
      <w:r w:rsidRPr="00E80B11">
        <w:rPr>
          <w:rFonts w:ascii="Times New Roman" w:eastAsia="MS ??" w:hAnsi="Times New Roman" w:cs="Times New Roman"/>
          <w:color w:val="000000"/>
          <w:sz w:val="24"/>
          <w:szCs w:val="24"/>
        </w:rPr>
        <w:t>считано от датата на подписване на приемателно-предавателен протокол за доставка</w:t>
      </w:r>
      <w:r w:rsidRPr="00E80B11">
        <w:rPr>
          <w:rFonts w:ascii="Times New Roman" w:eastAsia="MS ??" w:hAnsi="Times New Roman"/>
          <w:color w:val="000000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C282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доставеното оборудване 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текущата продуктова линия на производителя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няма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свален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производство към датата на подаване на офертата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28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пригоден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стандартизираната електрическа мрежа в Република България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стандартите относно пожаробезопасност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Захранването на всички елементи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бъде съобразено с Българските държавни стандарти БДС – 230+/-10%, 50Hz +/-0.5%.</w:t>
      </w:r>
    </w:p>
    <w:p w:rsidR="007349F1" w:rsidRDefault="00CC282E" w:rsidP="00CC282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съответства или 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надвишава в техническо отношение посочените минимални изисквания в техническ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спецификаци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Техническото предложение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включва задължително документация (каталози, брошури, листове с технически данни/технически характеристики и др.), която позволява да се направи съпоставка между минималните изисквания на Възложителя и техническите параметри на предложен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ото оборудване.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9F1" w:rsidRDefault="007349F1" w:rsidP="007349F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Декларирам, че 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комплектовката на 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включва всички технически аксесоари, необходими за правилната му работа, като например захранващи кабели, кабели за връзка и др.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Ако се окаже, че устройство не може да изпълнява дадена функция поради недостиг или липса на хардуерен модул, софтуер или лиценз, то съответните елементи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бъдат доставени безплатно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Default="007349F1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Декларирам, че п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редложеното оборудване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ще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бъде в съответствие с международните, европейските и на Република България изисквания за радиочестотни смущения, електромагнитна съвместимост, безопасност и нива на шум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Pr="00751DEF" w:rsidRDefault="00CC282E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      10. Декларирам, че в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случай на спиране на производството на предлаганото оборудване по време на процедурата, поради внедряване на нови технологии,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предложи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м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оборудване със същите или по-добри характеристики от актуалната продуктова листа на съответния производител.</w:t>
      </w:r>
    </w:p>
    <w:p w:rsidR="007349F1" w:rsidRDefault="00CC282E" w:rsidP="00CC2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7349F1"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следната схема за приемане на заявки и реакция при възникване на проблеми: изградени help-desk система и/или единен сервизен телефонен номер за получаване и обработка на заявките при възникване на проблеми и посочено лице за контакт: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...................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  <w:lang w:eastAsia="bg-BG"/>
        </w:rPr>
      </w:pPr>
      <w:r w:rsidRPr="007F7BF8">
        <w:rPr>
          <w:rFonts w:ascii="Calibri" w:hAnsi="Calibri" w:cs="Calibri"/>
          <w:bCs/>
          <w:sz w:val="22"/>
          <w:szCs w:val="22"/>
          <w:lang w:eastAsia="bg-BG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  <w:lang w:eastAsia="bg-BG"/>
        </w:rPr>
        <w:t>............</w:t>
      </w:r>
    </w:p>
    <w:p w:rsidR="007349F1" w:rsidRPr="00D33488" w:rsidRDefault="007349F1" w:rsidP="007349F1">
      <w:pPr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Calibri" w:hAnsi="Calibri" w:cs="Calibri"/>
          <w:bCs/>
          <w:lang w:eastAsia="bg-BG"/>
        </w:rPr>
        <w:tab/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>2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собствени сервизни бази и/или официални сервизи за гаранционно поддържане и обслужване на оборудването, както следва:</w:t>
      </w:r>
    </w:p>
    <w:p w:rsidR="007349F1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</w:t>
      </w:r>
    </w:p>
    <w:p w:rsidR="007349F1" w:rsidRPr="005001DD" w:rsidRDefault="007349F1" w:rsidP="007349F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01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обществената поръчка прилагаме таблица за съответствие с техническите изисквания, посочени в техническата спецификация както следва:</w:t>
      </w:r>
    </w:p>
    <w:tbl>
      <w:tblPr>
        <w:tblStyle w:val="TableGrid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444"/>
        <w:gridCol w:w="1984"/>
        <w:gridCol w:w="2551"/>
      </w:tblGrid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Вид на техниката</w:t>
            </w: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  <w:r w:rsidRPr="00B76A5E">
              <w:rPr>
                <w:b/>
              </w:rPr>
              <w:t>Количество (брой)</w:t>
            </w: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Технически изисквания и параметри</w:t>
            </w: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  <w:szCs w:val="22"/>
              </w:rPr>
            </w:pPr>
            <w:r w:rsidRPr="00AA6292">
              <w:rPr>
                <w:rStyle w:val="FontStyle28"/>
                <w:b/>
                <w:color w:val="000000"/>
                <w:szCs w:val="22"/>
              </w:rPr>
              <w:t>Предложение на участника</w:t>
            </w:r>
          </w:p>
          <w:p w:rsidR="007349F1" w:rsidRPr="00AA6292" w:rsidRDefault="007349F1" w:rsidP="00E80B11">
            <w:pPr>
              <w:ind w:left="204" w:right="34" w:hanging="142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  <w:sz w:val="22"/>
                <w:szCs w:val="22"/>
              </w:rPr>
            </w:pPr>
            <w:r w:rsidRPr="00AA6292">
              <w:rPr>
                <w:b/>
                <w:color w:val="000000"/>
                <w:sz w:val="22"/>
                <w:szCs w:val="22"/>
              </w:rPr>
              <w:t>Описание – производител, марка</w:t>
            </w: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</w:tbl>
    <w:p w:rsidR="007349F1" w:rsidRPr="00263E26" w:rsidRDefault="007349F1" w:rsidP="007349F1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349F1" w:rsidRDefault="007349F1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89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AA6292">
        <w:rPr>
          <w:rFonts w:ascii="Times New Roman" w:hAnsi="Times New Roman" w:cs="Times New Roman"/>
          <w:b/>
          <w:sz w:val="24"/>
          <w:szCs w:val="24"/>
        </w:rPr>
        <w:t>Забележка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A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3089">
        <w:rPr>
          <w:rFonts w:ascii="Times New Roman" w:hAnsi="Times New Roman" w:cs="Times New Roman"/>
          <w:i/>
          <w:sz w:val="24"/>
          <w:szCs w:val="24"/>
        </w:rPr>
        <w:t>Техническото предложение следва да съдържа информация по всички показатели, заложени като минимални технически изисквания в техн</w:t>
      </w:r>
      <w:r>
        <w:rPr>
          <w:rFonts w:ascii="Times New Roman" w:hAnsi="Times New Roman" w:cs="Times New Roman"/>
          <w:i/>
          <w:sz w:val="24"/>
          <w:szCs w:val="24"/>
        </w:rPr>
        <w:t>ическата спецификация.</w:t>
      </w:r>
      <w:r w:rsidRPr="00DC3089">
        <w:rPr>
          <w:rFonts w:ascii="Times New Roman" w:hAnsi="Times New Roman" w:cs="Times New Roman"/>
          <w:i/>
          <w:sz w:val="24"/>
          <w:szCs w:val="24"/>
        </w:rPr>
        <w:t xml:space="preserve"> При наличие на празни/непопълнени полета в колона „Предложение на участника”, участникът се отстранява от участие.</w:t>
      </w:r>
    </w:p>
    <w:p w:rsidR="00714ADA" w:rsidRPr="00714ADA" w:rsidRDefault="00714ADA" w:rsidP="00714ADA">
      <w:pPr>
        <w:tabs>
          <w:tab w:val="left" w:pos="426"/>
          <w:tab w:val="num" w:pos="1134"/>
          <w:tab w:val="num" w:pos="1426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Pr="00714ADA"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  <w:t>Предложеното компютърно оборудване трябва напълно да отговаря на изискванията, заложени в техническата спецификация;</w:t>
      </w:r>
    </w:p>
    <w:p w:rsidR="00714ADA" w:rsidRPr="00DC3089" w:rsidRDefault="00714ADA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2E09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2E098B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Вас изисквания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5A4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792287" w:rsidRDefault="00792287" w:rsidP="00792287">
      <w:pPr>
        <w:spacing w:after="0"/>
        <w:ind w:right="-9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Нашето предложение за изпълнение на предмета на обществената поръчка е следното: 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без ДДС;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с ДДС.</w:t>
      </w:r>
    </w:p>
    <w:p w:rsidR="00714ADA" w:rsidRPr="0099247E" w:rsidRDefault="00714ADA" w:rsidP="00714ADA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Оферираната по-горе обща цена е формирана, както следва: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972"/>
        <w:gridCol w:w="1306"/>
        <w:gridCol w:w="1306"/>
        <w:gridCol w:w="1168"/>
        <w:gridCol w:w="1086"/>
      </w:tblGrid>
      <w:tr w:rsidR="00714ADA" w:rsidRPr="0099247E" w:rsidTr="00E80B11">
        <w:trPr>
          <w:trHeight w:val="315"/>
        </w:trPr>
        <w:tc>
          <w:tcPr>
            <w:tcW w:w="3336" w:type="dxa"/>
            <w:shd w:val="clear" w:color="auto" w:fill="D9D9D9"/>
          </w:tcPr>
          <w:p w:rsidR="00714ADA" w:rsidRPr="0099247E" w:rsidRDefault="00714ADA" w:rsidP="00E80B11">
            <w:pPr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72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без ДДС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с ДДС</w:t>
            </w:r>
          </w:p>
        </w:tc>
        <w:tc>
          <w:tcPr>
            <w:tcW w:w="1168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  <w:tc>
          <w:tcPr>
            <w:tcW w:w="108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с ДДС</w:t>
            </w:r>
          </w:p>
        </w:tc>
      </w:tr>
      <w:tr w:rsidR="00714ADA" w:rsidRPr="0099247E" w:rsidTr="00E80B11">
        <w:trPr>
          <w:trHeight w:val="135"/>
        </w:trPr>
        <w:tc>
          <w:tcPr>
            <w:tcW w:w="3336" w:type="dxa"/>
          </w:tcPr>
          <w:p w:rsidR="00714ADA" w:rsidRPr="0099247E" w:rsidRDefault="00714ADA" w:rsidP="00E80B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Общо без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Общо с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3ED3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>Предложената от участника цена не може да надвишава максимална</w:t>
      </w:r>
      <w:r w:rsidR="00591949">
        <w:rPr>
          <w:rFonts w:ascii="Times New Roman" w:eastAsia="MS Mincho" w:hAnsi="Times New Roman" w:cs="Times New Roman"/>
          <w:b/>
          <w:bCs/>
          <w:sz w:val="24"/>
          <w:szCs w:val="24"/>
        </w:rPr>
        <w:t>та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стойност за изпълнение предмета на поръчката, както и посочените максимални стойности на съответните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точки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>. Ако участникът е предложил цени за изпълнение на доставките по-високи от посочените максимални стойности, офертата на участника се отстранява.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Прогнозна стойност: </w:t>
      </w:r>
      <w:r w:rsidR="00A03639" w:rsidRPr="004277B3">
        <w:rPr>
          <w:rFonts w:ascii="Times New Roman" w:eastAsia="MS Mincho" w:hAnsi="Times New Roman" w:cs="Times New Roman"/>
          <w:b/>
          <w:sz w:val="24"/>
          <w:szCs w:val="24"/>
        </w:rPr>
        <w:t>57 8</w:t>
      </w:r>
      <w:r w:rsidR="00A03639">
        <w:rPr>
          <w:rFonts w:ascii="Times New Roman" w:eastAsia="MS Mincho" w:hAnsi="Times New Roman" w:cs="Times New Roman"/>
          <w:b/>
          <w:sz w:val="24"/>
          <w:szCs w:val="24"/>
        </w:rPr>
        <w:t>71</w:t>
      </w:r>
      <w:r w:rsidR="00A03639" w:rsidRPr="004277B3">
        <w:rPr>
          <w:rFonts w:ascii="Times New Roman" w:eastAsia="MS Mincho" w:hAnsi="Times New Roman" w:cs="Times New Roman"/>
          <w:b/>
          <w:sz w:val="24"/>
          <w:szCs w:val="24"/>
        </w:rPr>
        <w:t>.00</w:t>
      </w:r>
      <w:r w:rsidR="00A03639" w:rsidRPr="005C654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5C6546">
        <w:rPr>
          <w:rFonts w:ascii="Times New Roman" w:eastAsia="MS Mincho" w:hAnsi="Times New Roman" w:cs="Times New Roman"/>
          <w:b/>
          <w:sz w:val="24"/>
          <w:szCs w:val="24"/>
        </w:rPr>
        <w:t>лв. без ДДС</w:t>
      </w:r>
      <w:r w:rsidRPr="005C6546">
        <w:rPr>
          <w:rFonts w:ascii="Times New Roman" w:eastAsia="MS Mincho" w:hAnsi="Times New Roman" w:cs="Times New Roman"/>
          <w:sz w:val="24"/>
          <w:szCs w:val="24"/>
        </w:rPr>
        <w:t>, разпределен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както следва:</w:t>
      </w:r>
    </w:p>
    <w:p w:rsidR="00591949" w:rsidRPr="005C654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>
        <w:rPr>
          <w:rFonts w:ascii="Times New Roman" w:eastAsia="MS Mincho" w:hAnsi="Times New Roman" w:cs="Times New Roman"/>
          <w:sz w:val="24"/>
          <w:szCs w:val="24"/>
        </w:rPr>
        <w:t>точка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1  е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1 250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лева без ДДС.</w:t>
      </w:r>
    </w:p>
    <w:p w:rsidR="00591949" w:rsidRPr="005C654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2 е в размер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2 500.00</w:t>
      </w:r>
      <w:r w:rsidRPr="005C654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591949" w:rsidRPr="005C654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3  е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920.00</w:t>
      </w:r>
      <w:r w:rsidRPr="005C6546">
        <w:rPr>
          <w:rFonts w:ascii="Times New Roman" w:hAnsi="Times New Roman" w:cs="Times New Roman"/>
          <w:sz w:val="24"/>
          <w:szCs w:val="24"/>
        </w:rPr>
        <w:t xml:space="preserve">  лева без ДДС.</w:t>
      </w:r>
    </w:p>
    <w:p w:rsidR="00591949" w:rsidRPr="008D60D1" w:rsidRDefault="00591949" w:rsidP="00591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4 е в размер </w:t>
      </w:r>
      <w:r w:rsidRPr="008D60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2 666.00</w:t>
      </w:r>
      <w:r w:rsidRPr="008D6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60D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1949" w:rsidRPr="00393286" w:rsidRDefault="00591949" w:rsidP="005919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5 е в размер на </w:t>
      </w:r>
      <w:r>
        <w:rPr>
          <w:rFonts w:ascii="Times New Roman" w:hAnsi="Times New Roman" w:cs="Times New Roman"/>
          <w:sz w:val="24"/>
          <w:szCs w:val="24"/>
        </w:rPr>
        <w:t>3 417</w:t>
      </w:r>
      <w:r w:rsidRPr="00393286">
        <w:rPr>
          <w:rFonts w:ascii="Times New Roman" w:hAnsi="Times New Roman" w:cs="Times New Roman"/>
          <w:sz w:val="24"/>
          <w:szCs w:val="24"/>
        </w:rPr>
        <w:t>.00 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 точка 6  е в размер на </w:t>
      </w:r>
      <w:r>
        <w:rPr>
          <w:rFonts w:ascii="Times New Roman" w:hAnsi="Times New Roman" w:cs="Times New Roman"/>
          <w:sz w:val="24"/>
          <w:szCs w:val="24"/>
        </w:rPr>
        <w:t>658.00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7  е в размер на </w:t>
      </w:r>
      <w:r>
        <w:rPr>
          <w:rFonts w:ascii="Times New Roman" w:hAnsi="Times New Roman" w:cs="Times New Roman"/>
          <w:sz w:val="24"/>
          <w:szCs w:val="24"/>
        </w:rPr>
        <w:t>1 000.00</w:t>
      </w:r>
      <w:r w:rsidRPr="00393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8  е в размер на </w:t>
      </w:r>
      <w:r>
        <w:rPr>
          <w:rFonts w:ascii="Times New Roman" w:hAnsi="Times New Roman" w:cs="Times New Roman"/>
          <w:sz w:val="24"/>
          <w:szCs w:val="24"/>
        </w:rPr>
        <w:t>1 416</w:t>
      </w:r>
      <w:r w:rsidRPr="00393286">
        <w:rPr>
          <w:rFonts w:ascii="Times New Roman" w:hAnsi="Times New Roman" w:cs="Times New Roman"/>
          <w:sz w:val="24"/>
          <w:szCs w:val="24"/>
        </w:rPr>
        <w:t>.00 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hAnsi="Times New Roman" w:cs="Times New Roman"/>
          <w:sz w:val="24"/>
          <w:szCs w:val="24"/>
        </w:rPr>
        <w:t xml:space="preserve">Максимална прогнозна стойност за точка 9 е в размер на </w:t>
      </w:r>
      <w:r>
        <w:rPr>
          <w:rFonts w:ascii="Times New Roman" w:hAnsi="Times New Roman" w:cs="Times New Roman"/>
          <w:sz w:val="24"/>
          <w:szCs w:val="24"/>
        </w:rPr>
        <w:t>791.00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10 е  в размер на </w:t>
      </w:r>
      <w:r>
        <w:rPr>
          <w:rFonts w:ascii="Times New Roman" w:hAnsi="Times New Roman" w:cs="Times New Roman"/>
          <w:sz w:val="24"/>
          <w:szCs w:val="24"/>
        </w:rPr>
        <w:t>520.00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11  е в размер на </w:t>
      </w:r>
      <w:r>
        <w:rPr>
          <w:rFonts w:ascii="Times New Roman" w:hAnsi="Times New Roman" w:cs="Times New Roman"/>
          <w:sz w:val="24"/>
          <w:szCs w:val="24"/>
        </w:rPr>
        <w:t>3 17</w:t>
      </w:r>
      <w:r w:rsidRPr="00393286">
        <w:rPr>
          <w:rFonts w:ascii="Times New Roman" w:hAnsi="Times New Roman" w:cs="Times New Roman"/>
          <w:sz w:val="24"/>
          <w:szCs w:val="24"/>
        </w:rPr>
        <w:t>0.00 лева без ДДС.</w:t>
      </w:r>
    </w:p>
    <w:p w:rsidR="00591949" w:rsidRPr="0039328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12 е в размер на </w:t>
      </w:r>
      <w:r>
        <w:rPr>
          <w:rFonts w:ascii="Times New Roman" w:hAnsi="Times New Roman" w:cs="Times New Roman"/>
          <w:sz w:val="24"/>
          <w:szCs w:val="24"/>
        </w:rPr>
        <w:t>1 330.00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ДДС</w:t>
      </w:r>
    </w:p>
    <w:p w:rsidR="00591949" w:rsidRPr="005C6546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13 е в размер на </w:t>
      </w:r>
      <w:r>
        <w:rPr>
          <w:rFonts w:ascii="Times New Roman" w:hAnsi="Times New Roman" w:cs="Times New Roman"/>
          <w:sz w:val="24"/>
          <w:szCs w:val="24"/>
        </w:rPr>
        <w:t xml:space="preserve">4 133 .00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 xml:space="preserve">  1 840.00 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е в размер на 1 220.00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е в размер на 233.00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е в размер на 965.00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е в размер на 5 400.00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е в размер на 1 333.00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е в размер на  210.00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е в размер на 900.00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е в размер на  240.00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е в размер на 1 050.00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е в размер на 4 590.00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е в размер на 183.00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е в размер на 1 920.00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е в размер на  966.00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е в размер на 2 083.00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Pr="00DE2D21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е в размер на </w:t>
      </w:r>
      <w:r w:rsidRPr="00B614E8">
        <w:rPr>
          <w:rFonts w:ascii="Times New Roman" w:hAnsi="Times New Roman" w:cs="Times New Roman"/>
          <w:sz w:val="24"/>
          <w:szCs w:val="24"/>
        </w:rPr>
        <w:t>583.00</w:t>
      </w:r>
      <w:r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е в размер на  </w:t>
      </w:r>
      <w:r w:rsidRPr="00B614E8">
        <w:rPr>
          <w:rFonts w:ascii="Times New Roman" w:hAnsi="Times New Roman" w:cs="Times New Roman"/>
          <w:sz w:val="24"/>
          <w:szCs w:val="24"/>
        </w:rPr>
        <w:t>583.00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е в размер на 2 500.00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е в размер на 1 670.00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 е в размер на  420.00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е в размер на  333.00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е в размер на  2 920.00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е в размер на 358.00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 е в размер на 1300</w:t>
      </w:r>
      <w:r w:rsidRPr="0045716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49" w:rsidRDefault="00591949" w:rsidP="0059194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е в размер на  </w:t>
      </w:r>
      <w:r>
        <w:rPr>
          <w:rFonts w:ascii="Times New Roman" w:hAnsi="Times New Roman" w:cs="Times New Roman"/>
          <w:sz w:val="24"/>
          <w:szCs w:val="24"/>
          <w:lang w:val="en-US"/>
        </w:rPr>
        <w:t>300.00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CF65A4" w:rsidRDefault="00CF65A4" w:rsidP="00D4051B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87" w:rsidRDefault="00792287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P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B0470" w:rsidRP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 НА ДОГОВОР</w:t>
      </w:r>
    </w:p>
    <w:p w:rsidR="003B5F5F" w:rsidRPr="0099247E" w:rsidRDefault="003B5F5F" w:rsidP="003B5F5F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3B5F5F" w:rsidRPr="0099247E" w:rsidRDefault="003B5F5F" w:rsidP="003B5F5F">
      <w:pPr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Днес, ……… 20</w:t>
      </w:r>
      <w:r w:rsidR="00735F9A">
        <w:rPr>
          <w:rFonts w:ascii="Times New Roman" w:eastAsia="MS ??" w:hAnsi="Times New Roman" w:cs="Times New Roman"/>
          <w:sz w:val="24"/>
          <w:szCs w:val="24"/>
        </w:rPr>
        <w:t>20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 г., в гр. София, между</w:t>
      </w:r>
    </w:p>
    <w:p w:rsidR="003B5F5F" w:rsidRPr="009E4C2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ПО МАТЕМАТИКА И ИНФОРМАТИКА КЪМ БАН</w:t>
      </w:r>
      <w:r w:rsidRPr="009E4C2F">
        <w:rPr>
          <w:rFonts w:ascii="Times New Roman" w:hAnsi="Times New Roman" w:cs="Times New Roman"/>
          <w:sz w:val="24"/>
          <w:szCs w:val="24"/>
        </w:rPr>
        <w:t>, със седалище и адрес на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E4C2F">
        <w:rPr>
          <w:rFonts w:ascii="Times New Roman" w:hAnsi="Times New Roman" w:cs="Times New Roman"/>
          <w:sz w:val="24"/>
          <w:szCs w:val="24"/>
        </w:rPr>
        <w:t>управление, гр. София,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E4C2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блок №8</w:t>
      </w:r>
      <w:r w:rsidRPr="009E4C2F">
        <w:rPr>
          <w:rFonts w:ascii="Times New Roman" w:hAnsi="Times New Roman" w:cs="Times New Roman"/>
          <w:sz w:val="24"/>
          <w:szCs w:val="24"/>
        </w:rPr>
        <w:t xml:space="preserve">, ЕИК № </w:t>
      </w:r>
      <w:r>
        <w:rPr>
          <w:rFonts w:ascii="Times New Roman" w:hAnsi="Times New Roman" w:cs="Times New Roman"/>
          <w:sz w:val="24"/>
          <w:szCs w:val="24"/>
        </w:rPr>
        <w:t>000665249</w:t>
      </w:r>
      <w:r w:rsidRPr="009E4C2F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F75125" w:rsidRPr="00F751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акад.Веселин Дренски</w:t>
      </w:r>
      <w:r w:rsidRPr="009E4C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E4C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E4C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Главен счетоводител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наричано по-долу за краткост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ВЪЗЛОЖИТЕЛ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от една страна,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:rsidR="003B5F5F" w:rsidRPr="00A9268D" w:rsidRDefault="003B5F5F" w:rsidP="003B5F5F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proofErr w:type="spellStart"/>
      <w:proofErr w:type="gram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. 194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(ЗОП) и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събирането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обява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</w:t>
      </w:r>
      <w:proofErr w:type="spellStart"/>
      <w:r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оборудване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>за нуждите на Институт по математика и информатика към Българска академия на науките</w:t>
      </w:r>
      <w:r w:rsidRPr="00A926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”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възлагане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обществена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поръчка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наричан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по-долу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краткост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„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>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следното</w:t>
      </w:r>
      <w:proofErr w:type="spellEnd"/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F5F" w:rsidRPr="0099247E" w:rsidRDefault="003B5F5F" w:rsidP="003B5F5F">
      <w:pPr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3B5F5F" w:rsidRPr="0099247E" w:rsidRDefault="003B5F5F" w:rsidP="003B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011ED3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възлага, 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</w:t>
      </w:r>
      <w:r w:rsidR="00735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B5F5F" w:rsidRPr="0099247E" w:rsidRDefault="003B5F5F" w:rsidP="003B5F5F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:rsidR="003B5F5F" w:rsidRPr="0099247E" w:rsidRDefault="003B5F5F" w:rsidP="003B5F5F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B5F5F" w:rsidRPr="00FB7086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изпълнението на предмета на Договора,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задължава да заплати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обща цена в размер на ……………………… лева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………………………….. лева) с включен ДДС, съгласно Ценовото му предложение (Приложение № 3), неразделна част от настоящия Договор.</w:t>
      </w:r>
    </w:p>
    <w:p w:rsidR="003B5F5F" w:rsidRDefault="003B5F5F" w:rsidP="003B5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Посочената в ал. 1 цена е крайна и включва всички разходи и възнаграждения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товаро-разтоварителни разходи, разходи за гаранционно поддържане и всички други разходи, необходими за изпълнение на поръчката, съобразно Техническото предложение (Приложение № 2) и Ценовото предложение (Приложение № 3)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документацията за участие.</w:t>
      </w: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3. (1)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Всяко плащане по този Договор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извърши</w:t>
      </w:r>
      <w:r w:rsidRPr="00F56A4B">
        <w:rPr>
          <w:rFonts w:ascii="Times New Roman" w:hAnsi="Times New Roman" w:cs="Times New Roman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срок до 20 (двадесет)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календарни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след като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налични надлежно съставени и подписани следните документи,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кумулативно: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двустранно подписан без забележки Приемо-предавателен протокол за извършена доставка и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5F5F" w:rsidRDefault="003B5F5F" w:rsidP="003B5F5F">
      <w:pPr>
        <w:spacing w:after="120" w:line="240" w:lineRule="auto"/>
        <w:ind w:firstLine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Фактура – оригинал, надлежно оформена и подписана от представител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F75125">
        <w:rPr>
          <w:rFonts w:ascii="Times New Roman" w:hAnsi="Times New Roman" w:cs="Times New Roman"/>
          <w:sz w:val="24"/>
          <w:szCs w:val="24"/>
        </w:rPr>
        <w:t>.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3809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 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Разплащането се извършва за действително изпълнени доставки по оферираните и договорени единични цени, посочени в Ценовото предложение на изпълнителя –</w:t>
      </w:r>
      <w:r w:rsidRPr="00F56A4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договора.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:rsidR="003B5F5F" w:rsidRPr="00E63809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уведомява писмено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последващи промени на банковата му сметка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че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плащанията, по посочената в настоящия член банкова сметка са надлежно извършени.</w:t>
      </w:r>
    </w:p>
    <w:p w:rsidR="003B5F5F" w:rsidRPr="0099247E" w:rsidRDefault="003B5F5F" w:rsidP="003B5F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Плащанията се извършват само след получаване на потвърждение от НАП и Агенция „Митници“, по реда и условията на Решение на МС № 593/20.07.2016 г. на МС.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В случай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че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7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99247E">
        <w:rPr>
          <w:rFonts w:ascii="Times New Roman" w:hAnsi="Times New Roman" w:cs="Times New Roman"/>
          <w:sz w:val="24"/>
          <w:szCs w:val="24"/>
        </w:rPr>
        <w:t>от ЗОП.</w:t>
      </w: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:rsidR="004D3172" w:rsidRPr="004D3172" w:rsidRDefault="003B5F5F" w:rsidP="004D3172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Pr="006103EA">
        <w:rPr>
          <w:rFonts w:ascii="Times New Roman" w:hAnsi="Times New Roman" w:cs="Times New Roman"/>
          <w:sz w:val="24"/>
          <w:szCs w:val="24"/>
        </w:rPr>
        <w:t xml:space="preserve">Договорът влиза в сила от датата на подписването му и от двете страни и е със срок на действие </w:t>
      </w:r>
      <w:r w:rsidR="004D3172" w:rsidRPr="006103EA">
        <w:rPr>
          <w:rFonts w:ascii="Times New Roman" w:hAnsi="Times New Roman" w:cs="Times New Roman"/>
          <w:sz w:val="24"/>
          <w:szCs w:val="24"/>
        </w:rPr>
        <w:t>до достигане на максимал</w:t>
      </w:r>
      <w:r w:rsidR="00910927" w:rsidRPr="006103EA">
        <w:rPr>
          <w:rFonts w:ascii="Times New Roman" w:hAnsi="Times New Roman" w:cs="Times New Roman"/>
          <w:sz w:val="24"/>
          <w:szCs w:val="24"/>
        </w:rPr>
        <w:t>ен</w:t>
      </w:r>
      <w:r w:rsidR="004D3172" w:rsidRPr="006103EA">
        <w:rPr>
          <w:rFonts w:ascii="Times New Roman" w:hAnsi="Times New Roman" w:cs="Times New Roman"/>
          <w:sz w:val="24"/>
          <w:szCs w:val="24"/>
        </w:rPr>
        <w:t xml:space="preserve"> финансов ресурс от 70 000.00 лева без ДДС, но за не повече от </w:t>
      </w:r>
      <w:r w:rsidR="00BA5F1C" w:rsidRPr="000F5642">
        <w:rPr>
          <w:rFonts w:ascii="Times New Roman" w:hAnsi="Times New Roman" w:cs="Times New Roman"/>
          <w:sz w:val="24"/>
          <w:szCs w:val="24"/>
        </w:rPr>
        <w:t>1</w:t>
      </w:r>
      <w:r w:rsidR="004D3172" w:rsidRPr="000F5642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BA5F1C" w:rsidRPr="000F5642">
        <w:rPr>
          <w:rFonts w:ascii="Times New Roman" w:hAnsi="Times New Roman" w:cs="Times New Roman"/>
          <w:sz w:val="24"/>
          <w:szCs w:val="24"/>
        </w:rPr>
        <w:t>а</w:t>
      </w:r>
      <w:r w:rsidR="004D3172" w:rsidRPr="006103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D3172" w:rsidRPr="006103EA">
        <w:rPr>
          <w:rFonts w:ascii="Times New Roman" w:hAnsi="Times New Roman" w:cs="Times New Roman"/>
          <w:sz w:val="24"/>
          <w:szCs w:val="24"/>
        </w:rPr>
        <w:t>считано от датата на сключването му.</w:t>
      </w:r>
    </w:p>
    <w:p w:rsidR="004D3172" w:rsidRDefault="004D3172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F5F" w:rsidRPr="00197A3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Срокът за извършване на доставките, предмет на договора,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датата на получаване на заявка за доставка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3E">
        <w:rPr>
          <w:rStyle w:val="FontStyle112"/>
          <w:sz w:val="24"/>
          <w:szCs w:val="24"/>
        </w:rPr>
        <w:t xml:space="preserve">Заявката се подава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7A3E">
        <w:rPr>
          <w:rStyle w:val="FontStyle112"/>
          <w:sz w:val="24"/>
          <w:szCs w:val="24"/>
        </w:rPr>
        <w:t xml:space="preserve"> в писмен вид, по фа</w:t>
      </w:r>
      <w:r>
        <w:rPr>
          <w:rStyle w:val="FontStyle112"/>
          <w:sz w:val="24"/>
          <w:szCs w:val="24"/>
        </w:rPr>
        <w:t>кс</w:t>
      </w:r>
      <w:r w:rsidRPr="00197A3E">
        <w:rPr>
          <w:rStyle w:val="FontStyle112"/>
          <w:sz w:val="24"/>
          <w:szCs w:val="24"/>
        </w:rPr>
        <w:t>, по електронен път или по имейл адрес.</w:t>
      </w:r>
      <w:r>
        <w:rPr>
          <w:rStyle w:val="FontStyle112"/>
          <w:sz w:val="24"/>
          <w:szCs w:val="24"/>
        </w:rPr>
        <w:t xml:space="preserve">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197A3E">
        <w:rPr>
          <w:rStyle w:val="FontStyle112"/>
          <w:sz w:val="24"/>
          <w:szCs w:val="24"/>
        </w:rPr>
        <w:t xml:space="preserve"> приема заявката за доставки на </w:t>
      </w:r>
      <w:r>
        <w:rPr>
          <w:rStyle w:val="FontStyle112"/>
          <w:sz w:val="24"/>
          <w:szCs w:val="24"/>
        </w:rPr>
        <w:t>компютърно оборудване</w:t>
      </w:r>
      <w:r w:rsidRPr="00197A3E">
        <w:rPr>
          <w:rStyle w:val="FontStyle112"/>
          <w:sz w:val="24"/>
          <w:szCs w:val="24"/>
        </w:rPr>
        <w:t xml:space="preserve"> от страна на В</w:t>
      </w:r>
      <w:r>
        <w:rPr>
          <w:rStyle w:val="FontStyle112"/>
          <w:sz w:val="24"/>
          <w:szCs w:val="24"/>
        </w:rPr>
        <w:t>ъзложителя на телефон</w:t>
      </w:r>
      <w:r w:rsidRPr="00197A3E">
        <w:rPr>
          <w:rStyle w:val="FontStyle112"/>
          <w:sz w:val="24"/>
          <w:szCs w:val="24"/>
        </w:rPr>
        <w:t>.., факс</w:t>
      </w:r>
      <w:r>
        <w:rPr>
          <w:rStyle w:val="FontStyle112"/>
          <w:sz w:val="24"/>
          <w:szCs w:val="24"/>
        </w:rPr>
        <w:t>….</w:t>
      </w:r>
      <w:r w:rsidRPr="00197A3E">
        <w:rPr>
          <w:rStyle w:val="FontStyle112"/>
          <w:sz w:val="24"/>
          <w:szCs w:val="24"/>
        </w:rPr>
        <w:t xml:space="preserve">или на </w:t>
      </w:r>
      <w:r w:rsidRPr="00197A3E">
        <w:rPr>
          <w:rStyle w:val="FontStyle112"/>
          <w:sz w:val="24"/>
          <w:szCs w:val="24"/>
          <w:lang w:val="en-US"/>
        </w:rPr>
        <w:t xml:space="preserve">e-mail </w:t>
      </w:r>
      <w:r w:rsidRPr="00197A3E">
        <w:rPr>
          <w:rStyle w:val="FontStyle112"/>
          <w:sz w:val="24"/>
          <w:szCs w:val="24"/>
        </w:rPr>
        <w:t>адрес.............................;</w:t>
      </w:r>
      <w:r w:rsidRPr="00197A3E">
        <w:rPr>
          <w:rStyle w:val="FontStyle112"/>
          <w:sz w:val="24"/>
          <w:szCs w:val="24"/>
        </w:rPr>
        <w:tab/>
        <w:t>.</w:t>
      </w:r>
    </w:p>
    <w:p w:rsidR="003B5F5F" w:rsidRPr="008265B8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(3)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място, в сградата на Института по математика и информатика към БАН – гр. София, ул. „Акад.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№8.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</w:t>
      </w:r>
      <w:r w:rsidRPr="00195F3A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и за негова сметка.</w:t>
      </w: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Действително извършените доставки, предмет на поръчката, задължително се проверяват на място преди да се приемат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3B5F5F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доставките,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:rsidR="003B5F5F" w:rsidRPr="00711E58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сключил договор/договори за подизпълнение, работата на подизпълнителите се приема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присъствието на Изпълнителя и подизпълнителя.</w:t>
      </w:r>
    </w:p>
    <w:p w:rsidR="003B5F5F" w:rsidRPr="001F44DA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ПРЕМИНАВАНЕ НА СОБСТВЕНОСТТА И РИСКА</w:t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:rsidR="003B5F5F" w:rsidRPr="0099247E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>
        <w:t>о</w:t>
      </w:r>
      <w:r w:rsidRPr="0099247E">
        <w:t>, нов</w:t>
      </w:r>
      <w:r>
        <w:t>о</w:t>
      </w:r>
      <w:r w:rsidRPr="0099247E">
        <w:t xml:space="preserve"> и неупотребяван</w:t>
      </w:r>
      <w:r>
        <w:t>о</w:t>
      </w:r>
      <w:r w:rsidRPr="0099247E">
        <w:t xml:space="preserve"> </w:t>
      </w:r>
      <w:r>
        <w:t>оборудването</w:t>
      </w:r>
      <w:r w:rsidRPr="0099247E">
        <w:t xml:space="preserve"> с гарантиран произход.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>
        <w:t>ото оборудването</w:t>
      </w:r>
      <w:r w:rsidRPr="0099247E">
        <w:t xml:space="preserve"> в рамките на целия гаранционен срок.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:rsidR="003B5F5F" w:rsidRPr="0099247E" w:rsidDel="00F31704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val="en-US" w:eastAsia="ar-SA"/>
        </w:rPr>
      </w:pPr>
      <w:r w:rsidRPr="0099247E">
        <w:rPr>
          <w:lang w:eastAsia="ar-SA"/>
        </w:rPr>
        <w:t>Д</w:t>
      </w:r>
      <w:r w:rsidRPr="0099247E">
        <w:rPr>
          <w:lang w:val="en-US" w:eastAsia="ar-SA"/>
        </w:rPr>
        <w:t xml:space="preserve">а </w:t>
      </w:r>
      <w:proofErr w:type="spellStart"/>
      <w:r w:rsidRPr="0099247E">
        <w:rPr>
          <w:lang w:val="en-US" w:eastAsia="ar-SA"/>
        </w:rPr>
        <w:t>използва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само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подизпълнители</w:t>
      </w:r>
      <w:proofErr w:type="spellEnd"/>
      <w:r w:rsidRPr="0099247E">
        <w:rPr>
          <w:lang w:val="en-US" w:eastAsia="ar-SA"/>
        </w:rPr>
        <w:t xml:space="preserve">, </w:t>
      </w:r>
      <w:proofErr w:type="spellStart"/>
      <w:r w:rsidRPr="0099247E">
        <w:rPr>
          <w:lang w:val="en-US" w:eastAsia="ar-SA"/>
        </w:rPr>
        <w:t>посочени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офертата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за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участие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обществената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поръчка</w:t>
      </w:r>
      <w:proofErr w:type="spellEnd"/>
      <w:r w:rsidRPr="0099247E">
        <w:rPr>
          <w:lang w:val="en-US" w:eastAsia="ar-SA"/>
        </w:rPr>
        <w:t>.</w:t>
      </w:r>
    </w:p>
    <w:p w:rsidR="003B5F5F" w:rsidRPr="00E07EA1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>
        <w:t>ото оборудване;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Pr="0099247E">
        <w:t>доставен</w:t>
      </w:r>
      <w:r>
        <w:t>ото оборудване</w:t>
      </w:r>
      <w:r w:rsidRPr="0099247E">
        <w:t>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  <w:lang w:val="en-US"/>
        </w:rPr>
        <w:t>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</w:t>
      </w:r>
      <w:r w:rsidRPr="006A2EF0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>При констатиране на фабрични дефекти в момента на доставката</w:t>
      </w:r>
      <w:r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</w:t>
      </w:r>
      <w:r w:rsidRPr="0099247E">
        <w:rPr>
          <w:lang w:val="en-US"/>
        </w:rPr>
        <w:t>.</w:t>
      </w:r>
      <w:r w:rsidRPr="0099247E">
        <w:t xml:space="preserve">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>
        <w:t xml:space="preserve">, </w:t>
      </w:r>
      <w:r w:rsidRPr="00E07EA1">
        <w:t>инсталирането и</w:t>
      </w:r>
      <w:r w:rsidRPr="0099247E">
        <w:t xml:space="preserve"> гаранционното обслужване на </w:t>
      </w:r>
      <w:r>
        <w:t>оборудването</w:t>
      </w:r>
      <w:r w:rsidRPr="0099247E">
        <w:t xml:space="preserve"> при условията на този договор и приложенията към него.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lastRenderedPageBreak/>
        <w:t xml:space="preserve">Да предявява рекламации за явни и скрити дефекти за срока на </w:t>
      </w:r>
      <w:r>
        <w:t xml:space="preserve">договорените гаранции с </w:t>
      </w:r>
      <w:r w:rsidRPr="0099247E">
        <w:t>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:rsidR="003B5F5F" w:rsidRPr="0099247E" w:rsidRDefault="003B5F5F" w:rsidP="003B5F5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:rsidR="003B5F5F" w:rsidRPr="0099247E" w:rsidRDefault="003B5F5F" w:rsidP="003B5F5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:rsidR="003B5F5F" w:rsidRPr="00087BE3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D2940">
        <w:rPr>
          <w:rFonts w:ascii="Times New Roman" w:hAnsi="Times New Roman" w:cs="Times New Roman"/>
          <w:b/>
          <w:sz w:val="24"/>
          <w:szCs w:val="24"/>
        </w:rPr>
        <w:t>3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доставеното оборудване.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:rsidR="003B5F5F" w:rsidRPr="0099247E" w:rsidRDefault="003B5F5F" w:rsidP="003B5F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</w:t>
      </w:r>
      <w:r w:rsidRPr="0099247E">
        <w:rPr>
          <w:rFonts w:ascii="Times New Roman" w:hAnsi="Times New Roman" w:cs="Times New Roman"/>
          <w:sz w:val="24"/>
          <w:szCs w:val="24"/>
        </w:rPr>
        <w:lastRenderedPageBreak/>
        <w:t>некачествен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ГАРАНЦИОННА ПОДДРЪЖКА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>
        <w:rPr>
          <w:rFonts w:ascii="Times New Roman" w:hAnsi="Times New Roman" w:cs="Times New Roman"/>
          <w:sz w:val="24"/>
          <w:szCs w:val="24"/>
        </w:rPr>
        <w:t xml:space="preserve"> минимум </w:t>
      </w:r>
      <w:r w:rsidRPr="006A2EF0">
        <w:rPr>
          <w:rFonts w:ascii="Times New Roman" w:hAnsi="Times New Roman" w:cs="Times New Roman"/>
          <w:sz w:val="24"/>
          <w:szCs w:val="24"/>
        </w:rPr>
        <w:t>24 месеца,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подписване на приемо-предавателен протокол за доставеното оборудване,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рамките на гаранционния срок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да отстрани възникнал проблем с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591A49">
        <w:rPr>
          <w:rFonts w:ascii="Times New Roman" w:hAnsi="Times New Roman"/>
          <w:sz w:val="24"/>
          <w:szCs w:val="24"/>
        </w:rPr>
        <w:t>в рамките на 24 часа, но не повече от 3 (три) работни дни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получаване на уведомление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. Когато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обективни причини, е необходим по-дълъг срок за отстраняване на проблема, се уговаря допълнителен срок от страните по договора, който не може да бъде по-дълъг от 14 работни дни.</w:t>
      </w:r>
    </w:p>
    <w:p w:rsidR="003B5F5F" w:rsidRPr="0099247E" w:rsidRDefault="003B5F5F" w:rsidP="003B5F5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, а когато това е невъзможно – в сервизна база</w:t>
      </w:r>
      <w:r w:rsidRPr="009924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В този случай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в 30 (тридесет) дневен срок, сред подписване и съгласуване на приемо-предавателния протокол по чл.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ал. 3 от договора.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за обезпечаване на задължението за гаранционна поддръжка.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:rsidR="003B5F5F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процент) от </w:t>
      </w:r>
      <w:r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0,5 % (нула цяло и пет процента) от стойността на дефектн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по реда на чл. 23, ал. 1, т. 3 и чл. 23,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Чл. 18.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>Чл. 19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B5F5F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</w:p>
    <w:p w:rsidR="003B5F5F" w:rsidRPr="0099247E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:rsidR="003B5F5F" w:rsidRPr="0099247E" w:rsidRDefault="003B5F5F" w:rsidP="003B5F5F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20.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Чл. 21.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22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Никоя от страните 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:rsidR="003B5F5F" w:rsidRPr="0099247E" w:rsidRDefault="003B5F5F" w:rsidP="003B5F5F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:rsidR="003B5F5F" w:rsidRPr="0099247E" w:rsidRDefault="003B5F5F" w:rsidP="003B5F5F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:rsidR="003B5F5F" w:rsidRPr="0099247E" w:rsidRDefault="003B5F5F" w:rsidP="003B5F5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:rsidR="003B5F5F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Чл. 23.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</w:t>
      </w:r>
      <w:r w:rsidR="00FE383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ЗОП;</w:t>
      </w:r>
    </w:p>
    <w:p w:rsidR="003B5F5F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>Чл. 24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t>Чл. 25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Чл. 26.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:rsidR="003B5F5F" w:rsidRPr="0099247E" w:rsidRDefault="003B5F5F" w:rsidP="003B5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блок №8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 по математика и информатика към БАН</w:t>
      </w:r>
    </w:p>
    <w:p w:rsidR="003B5F5F" w:rsidRPr="0099247E" w:rsidRDefault="003B5F5F" w:rsidP="003B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val="en-US"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:rsidR="003B5F5F" w:rsidRPr="00D7197A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:rsidR="003B5F5F" w:rsidRPr="0099247E" w:rsidRDefault="003B5F5F" w:rsidP="003B5F5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27.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28.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3B5F5F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3B5F5F" w:rsidRPr="00263E26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Pr="00324083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Pr="00263E26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sectPr w:rsidR="003B5F5F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51" w:rsidRDefault="00332251" w:rsidP="00806C1E">
      <w:pPr>
        <w:spacing w:after="0" w:line="240" w:lineRule="auto"/>
      </w:pPr>
      <w:r>
        <w:separator/>
      </w:r>
    </w:p>
  </w:endnote>
  <w:endnote w:type="continuationSeparator" w:id="0">
    <w:p w:rsidR="00332251" w:rsidRDefault="00332251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1C" w:rsidRDefault="00C45509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F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F1C" w:rsidRDefault="00BA5F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1C" w:rsidRPr="0022588D" w:rsidRDefault="00BA5F1C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BA5F1C" w:rsidRPr="0022588D" w:rsidRDefault="00BA5F1C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51" w:rsidRDefault="00332251" w:rsidP="00806C1E">
      <w:pPr>
        <w:spacing w:after="0" w:line="240" w:lineRule="auto"/>
      </w:pPr>
      <w:r>
        <w:separator/>
      </w:r>
    </w:p>
  </w:footnote>
  <w:footnote w:type="continuationSeparator" w:id="0">
    <w:p w:rsidR="00332251" w:rsidRDefault="00332251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1C" w:rsidRDefault="00C455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F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F1C" w:rsidRDefault="00BA5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" o:bullet="t">
        <v:imagedata r:id="rId1" o:title="Icon_CS 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5" w15:restartNumberingAfterBreak="0">
    <w:nsid w:val="00000006"/>
    <w:multiLevelType w:val="multilevel"/>
    <w:tmpl w:val="76A045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15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1" w15:restartNumberingAfterBreak="0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4"/>
  </w:num>
  <w:num w:numId="10">
    <w:abstractNumId w:val="27"/>
  </w:num>
  <w:num w:numId="11">
    <w:abstractNumId w:val="34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3"/>
  </w:num>
  <w:num w:numId="15">
    <w:abstractNumId w:val="29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26"/>
  </w:num>
  <w:num w:numId="21">
    <w:abstractNumId w:val="18"/>
  </w:num>
  <w:num w:numId="22">
    <w:abstractNumId w:val="22"/>
  </w:num>
  <w:num w:numId="23">
    <w:abstractNumId w:val="31"/>
  </w:num>
  <w:num w:numId="24">
    <w:abstractNumId w:val="16"/>
  </w:num>
  <w:num w:numId="25">
    <w:abstractNumId w:val="21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28B9"/>
    <w:rsid w:val="00004175"/>
    <w:rsid w:val="00004235"/>
    <w:rsid w:val="00010CC9"/>
    <w:rsid w:val="00015F0C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5642"/>
    <w:rsid w:val="000F7D42"/>
    <w:rsid w:val="0010143A"/>
    <w:rsid w:val="00102472"/>
    <w:rsid w:val="00105D83"/>
    <w:rsid w:val="00106882"/>
    <w:rsid w:val="00112786"/>
    <w:rsid w:val="001140BE"/>
    <w:rsid w:val="0011486B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4A92"/>
    <w:rsid w:val="00147A54"/>
    <w:rsid w:val="00147B1B"/>
    <w:rsid w:val="001542AA"/>
    <w:rsid w:val="0015493F"/>
    <w:rsid w:val="00162F98"/>
    <w:rsid w:val="001649EC"/>
    <w:rsid w:val="00166E74"/>
    <w:rsid w:val="00171E6C"/>
    <w:rsid w:val="00172801"/>
    <w:rsid w:val="00175CF4"/>
    <w:rsid w:val="00177479"/>
    <w:rsid w:val="00177FDC"/>
    <w:rsid w:val="00181C24"/>
    <w:rsid w:val="00187DE0"/>
    <w:rsid w:val="0019093E"/>
    <w:rsid w:val="00190EA0"/>
    <w:rsid w:val="001923F1"/>
    <w:rsid w:val="00192D14"/>
    <w:rsid w:val="00194703"/>
    <w:rsid w:val="00195F3A"/>
    <w:rsid w:val="001A5962"/>
    <w:rsid w:val="001B2D2D"/>
    <w:rsid w:val="001B31C7"/>
    <w:rsid w:val="001C7310"/>
    <w:rsid w:val="001D037D"/>
    <w:rsid w:val="001D6C6E"/>
    <w:rsid w:val="001D6ED5"/>
    <w:rsid w:val="001E3B2C"/>
    <w:rsid w:val="001F00A9"/>
    <w:rsid w:val="001F3E9C"/>
    <w:rsid w:val="001F59B3"/>
    <w:rsid w:val="00211DBE"/>
    <w:rsid w:val="00213892"/>
    <w:rsid w:val="00214540"/>
    <w:rsid w:val="00220DA7"/>
    <w:rsid w:val="002239D5"/>
    <w:rsid w:val="002251A3"/>
    <w:rsid w:val="0022588D"/>
    <w:rsid w:val="0022738E"/>
    <w:rsid w:val="002300D0"/>
    <w:rsid w:val="00230ADD"/>
    <w:rsid w:val="0023113A"/>
    <w:rsid w:val="00232809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4999"/>
    <w:rsid w:val="00265914"/>
    <w:rsid w:val="00271B58"/>
    <w:rsid w:val="00272092"/>
    <w:rsid w:val="00274B2C"/>
    <w:rsid w:val="002767AB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1A57"/>
    <w:rsid w:val="002D3AEB"/>
    <w:rsid w:val="002E098B"/>
    <w:rsid w:val="002E151F"/>
    <w:rsid w:val="002E3938"/>
    <w:rsid w:val="002E42B0"/>
    <w:rsid w:val="002E5ADB"/>
    <w:rsid w:val="002F0019"/>
    <w:rsid w:val="002F1115"/>
    <w:rsid w:val="002F519F"/>
    <w:rsid w:val="00300770"/>
    <w:rsid w:val="00312965"/>
    <w:rsid w:val="00314DEB"/>
    <w:rsid w:val="00320B08"/>
    <w:rsid w:val="0032498B"/>
    <w:rsid w:val="00324D54"/>
    <w:rsid w:val="003253C0"/>
    <w:rsid w:val="00325E0A"/>
    <w:rsid w:val="00330341"/>
    <w:rsid w:val="00330473"/>
    <w:rsid w:val="003310EE"/>
    <w:rsid w:val="00332251"/>
    <w:rsid w:val="003330FE"/>
    <w:rsid w:val="003334A8"/>
    <w:rsid w:val="0033357B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0294"/>
    <w:rsid w:val="00392E2B"/>
    <w:rsid w:val="00396B53"/>
    <w:rsid w:val="0039718C"/>
    <w:rsid w:val="003A5B17"/>
    <w:rsid w:val="003B0B84"/>
    <w:rsid w:val="003B1205"/>
    <w:rsid w:val="003B2499"/>
    <w:rsid w:val="003B572E"/>
    <w:rsid w:val="003B5F5F"/>
    <w:rsid w:val="003B7A49"/>
    <w:rsid w:val="003D2B1A"/>
    <w:rsid w:val="003D3141"/>
    <w:rsid w:val="003D5AF9"/>
    <w:rsid w:val="003E0B9E"/>
    <w:rsid w:val="003F3E46"/>
    <w:rsid w:val="00403D1E"/>
    <w:rsid w:val="004136EE"/>
    <w:rsid w:val="0041522B"/>
    <w:rsid w:val="004208F9"/>
    <w:rsid w:val="004219B8"/>
    <w:rsid w:val="00424BC8"/>
    <w:rsid w:val="004266DB"/>
    <w:rsid w:val="00430985"/>
    <w:rsid w:val="00431A1C"/>
    <w:rsid w:val="0043530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864E8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5395"/>
    <w:rsid w:val="004C657D"/>
    <w:rsid w:val="004D3172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1949"/>
    <w:rsid w:val="00592956"/>
    <w:rsid w:val="005945DC"/>
    <w:rsid w:val="00596455"/>
    <w:rsid w:val="005975AF"/>
    <w:rsid w:val="005A584D"/>
    <w:rsid w:val="005A6FE5"/>
    <w:rsid w:val="005B2396"/>
    <w:rsid w:val="005B2E5C"/>
    <w:rsid w:val="005B3635"/>
    <w:rsid w:val="005B3B36"/>
    <w:rsid w:val="005B519F"/>
    <w:rsid w:val="005B636D"/>
    <w:rsid w:val="005C2034"/>
    <w:rsid w:val="005C33CD"/>
    <w:rsid w:val="005C3909"/>
    <w:rsid w:val="005D21B9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03EA"/>
    <w:rsid w:val="00613AE5"/>
    <w:rsid w:val="00615990"/>
    <w:rsid w:val="00615E3C"/>
    <w:rsid w:val="006241DA"/>
    <w:rsid w:val="00631052"/>
    <w:rsid w:val="006402DB"/>
    <w:rsid w:val="00643E65"/>
    <w:rsid w:val="00646932"/>
    <w:rsid w:val="0065409D"/>
    <w:rsid w:val="00660239"/>
    <w:rsid w:val="00662656"/>
    <w:rsid w:val="00664226"/>
    <w:rsid w:val="00667988"/>
    <w:rsid w:val="00667EFD"/>
    <w:rsid w:val="00673291"/>
    <w:rsid w:val="00673E3D"/>
    <w:rsid w:val="00682573"/>
    <w:rsid w:val="00684C5A"/>
    <w:rsid w:val="00686192"/>
    <w:rsid w:val="00690843"/>
    <w:rsid w:val="006973C9"/>
    <w:rsid w:val="006A2EF0"/>
    <w:rsid w:val="006A6A6A"/>
    <w:rsid w:val="006B14C2"/>
    <w:rsid w:val="006B6806"/>
    <w:rsid w:val="006B6E20"/>
    <w:rsid w:val="006B7804"/>
    <w:rsid w:val="006C0A1E"/>
    <w:rsid w:val="006C315D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4ADA"/>
    <w:rsid w:val="00717291"/>
    <w:rsid w:val="007211F6"/>
    <w:rsid w:val="00723042"/>
    <w:rsid w:val="007349F1"/>
    <w:rsid w:val="007352D9"/>
    <w:rsid w:val="00735F9A"/>
    <w:rsid w:val="00740329"/>
    <w:rsid w:val="00744A94"/>
    <w:rsid w:val="00745BD2"/>
    <w:rsid w:val="00752171"/>
    <w:rsid w:val="00763F9F"/>
    <w:rsid w:val="00770D1C"/>
    <w:rsid w:val="00775630"/>
    <w:rsid w:val="007802E9"/>
    <w:rsid w:val="007808E3"/>
    <w:rsid w:val="007818F9"/>
    <w:rsid w:val="00782087"/>
    <w:rsid w:val="00790649"/>
    <w:rsid w:val="00792287"/>
    <w:rsid w:val="00794752"/>
    <w:rsid w:val="007A0B2F"/>
    <w:rsid w:val="007B1308"/>
    <w:rsid w:val="007B3FC7"/>
    <w:rsid w:val="007C5510"/>
    <w:rsid w:val="007E0B0D"/>
    <w:rsid w:val="007E53CC"/>
    <w:rsid w:val="007F6C52"/>
    <w:rsid w:val="007F6E8A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A56CD"/>
    <w:rsid w:val="008B25D3"/>
    <w:rsid w:val="008B6A35"/>
    <w:rsid w:val="008C6810"/>
    <w:rsid w:val="008D3711"/>
    <w:rsid w:val="008D42F1"/>
    <w:rsid w:val="008D6887"/>
    <w:rsid w:val="008E2BB1"/>
    <w:rsid w:val="008F59B3"/>
    <w:rsid w:val="00900640"/>
    <w:rsid w:val="00910927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B63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3639"/>
    <w:rsid w:val="00A0664B"/>
    <w:rsid w:val="00A071B0"/>
    <w:rsid w:val="00A101D1"/>
    <w:rsid w:val="00A11F14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628A"/>
    <w:rsid w:val="00A96488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B02F9B"/>
    <w:rsid w:val="00B03120"/>
    <w:rsid w:val="00B11D27"/>
    <w:rsid w:val="00B159B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21E2"/>
    <w:rsid w:val="00B92E1D"/>
    <w:rsid w:val="00B95553"/>
    <w:rsid w:val="00BA1395"/>
    <w:rsid w:val="00BA1A1F"/>
    <w:rsid w:val="00BA3E94"/>
    <w:rsid w:val="00BA5F1C"/>
    <w:rsid w:val="00BB0470"/>
    <w:rsid w:val="00BB5E50"/>
    <w:rsid w:val="00BB63A2"/>
    <w:rsid w:val="00BC0D44"/>
    <w:rsid w:val="00BC4612"/>
    <w:rsid w:val="00BC5264"/>
    <w:rsid w:val="00BC7C49"/>
    <w:rsid w:val="00BD1791"/>
    <w:rsid w:val="00BD3826"/>
    <w:rsid w:val="00BD5E7F"/>
    <w:rsid w:val="00BE1464"/>
    <w:rsid w:val="00BE718E"/>
    <w:rsid w:val="00BE71A6"/>
    <w:rsid w:val="00BF0781"/>
    <w:rsid w:val="00C00057"/>
    <w:rsid w:val="00C03549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45509"/>
    <w:rsid w:val="00C530F7"/>
    <w:rsid w:val="00C54C03"/>
    <w:rsid w:val="00C56D3D"/>
    <w:rsid w:val="00C5710B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A2145"/>
    <w:rsid w:val="00CA2602"/>
    <w:rsid w:val="00CA31D1"/>
    <w:rsid w:val="00CA473C"/>
    <w:rsid w:val="00CA5478"/>
    <w:rsid w:val="00CB03A5"/>
    <w:rsid w:val="00CB38A2"/>
    <w:rsid w:val="00CB4CA1"/>
    <w:rsid w:val="00CB7DA1"/>
    <w:rsid w:val="00CC117C"/>
    <w:rsid w:val="00CC14A6"/>
    <w:rsid w:val="00CC282E"/>
    <w:rsid w:val="00CC2FEF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051B"/>
    <w:rsid w:val="00D459FC"/>
    <w:rsid w:val="00D51E90"/>
    <w:rsid w:val="00D527AD"/>
    <w:rsid w:val="00D57A75"/>
    <w:rsid w:val="00D62BC2"/>
    <w:rsid w:val="00D8088C"/>
    <w:rsid w:val="00D81E35"/>
    <w:rsid w:val="00D9105E"/>
    <w:rsid w:val="00D9245C"/>
    <w:rsid w:val="00D97C18"/>
    <w:rsid w:val="00D97D65"/>
    <w:rsid w:val="00DA36F5"/>
    <w:rsid w:val="00DA553A"/>
    <w:rsid w:val="00DB087A"/>
    <w:rsid w:val="00DB29EC"/>
    <w:rsid w:val="00DC319F"/>
    <w:rsid w:val="00DC4757"/>
    <w:rsid w:val="00DC5D81"/>
    <w:rsid w:val="00DC60B7"/>
    <w:rsid w:val="00DD3380"/>
    <w:rsid w:val="00DD7051"/>
    <w:rsid w:val="00DE275B"/>
    <w:rsid w:val="00DE3771"/>
    <w:rsid w:val="00DE6548"/>
    <w:rsid w:val="00DF12F6"/>
    <w:rsid w:val="00DF4A2B"/>
    <w:rsid w:val="00DF6CAE"/>
    <w:rsid w:val="00E01610"/>
    <w:rsid w:val="00E02976"/>
    <w:rsid w:val="00E07E7F"/>
    <w:rsid w:val="00E11544"/>
    <w:rsid w:val="00E1472B"/>
    <w:rsid w:val="00E24AD7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027D"/>
    <w:rsid w:val="00E80B11"/>
    <w:rsid w:val="00E82F55"/>
    <w:rsid w:val="00E83ED3"/>
    <w:rsid w:val="00E8405F"/>
    <w:rsid w:val="00E909C7"/>
    <w:rsid w:val="00E97D5D"/>
    <w:rsid w:val="00EA4B76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7081"/>
    <w:rsid w:val="00F03E9B"/>
    <w:rsid w:val="00F13F75"/>
    <w:rsid w:val="00F212DE"/>
    <w:rsid w:val="00F214A9"/>
    <w:rsid w:val="00F241B4"/>
    <w:rsid w:val="00F33EA8"/>
    <w:rsid w:val="00F3717A"/>
    <w:rsid w:val="00F40B7A"/>
    <w:rsid w:val="00F40C43"/>
    <w:rsid w:val="00F43A07"/>
    <w:rsid w:val="00F64242"/>
    <w:rsid w:val="00F71BD4"/>
    <w:rsid w:val="00F75125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BD9"/>
    <w:rsid w:val="00FD6E0E"/>
    <w:rsid w:val="00FE1F0B"/>
    <w:rsid w:val="00FE3838"/>
    <w:rsid w:val="00FE4F92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FB4CF0-1DB8-4C72-819E-FC31DDE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3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Colorful List Accent 1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,Colorful List Accent 1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,Colorful List Accent 1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8">
    <w:name w:val="Font Style28"/>
    <w:rsid w:val="007349F1"/>
    <w:rPr>
      <w:rFonts w:ascii="Times New Roman" w:hAnsi="Times New Roman"/>
      <w:sz w:val="22"/>
    </w:rPr>
  </w:style>
  <w:style w:type="character" w:customStyle="1" w:styleId="alcapt">
    <w:name w:val="al_capt"/>
    <w:rsid w:val="007349F1"/>
  </w:style>
  <w:style w:type="character" w:customStyle="1" w:styleId="alb">
    <w:name w:val="al_b"/>
    <w:rsid w:val="007349F1"/>
  </w:style>
  <w:style w:type="character" w:customStyle="1" w:styleId="FontStyle112">
    <w:name w:val="Font Style112"/>
    <w:basedOn w:val="DefaultParagraphFont"/>
    <w:uiPriority w:val="99"/>
    <w:rsid w:val="003B5F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0AD9-0423-4859-9C10-6B3DFAD3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9128</Words>
  <Characters>52032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2016-12-12T14:21:00Z</cp:lastPrinted>
  <dcterms:created xsi:type="dcterms:W3CDTF">2020-02-28T11:24:00Z</dcterms:created>
  <dcterms:modified xsi:type="dcterms:W3CDTF">2020-02-28T11:24:00Z</dcterms:modified>
</cp:coreProperties>
</file>